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87491F7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3B6BB7">
        <w:rPr>
          <w:rFonts w:ascii="Lidl Font Pro" w:hAnsi="Lidl Font Pro" w:cs="Helv"/>
          <w:sz w:val="22"/>
          <w:szCs w:val="22"/>
          <w:lang w:val="en-150"/>
        </w:rPr>
        <w:t>17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F56C4E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2D089B4C" w14:textId="7D5131F9" w:rsidR="002A75B3" w:rsidRDefault="002A75B3" w:rsidP="002A75B3">
      <w:pPr>
        <w:pStyle w:val="NormalWeb"/>
        <w:spacing w:after="120" w:afterAutospacing="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r w:rsidRPr="002A75B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Η Lidl Ελλάς προχωρά σε αυξήσεις και παροχές ύψους 6,7 εκατ. ευρώ για </w:t>
      </w:r>
      <w:r w:rsidR="00AB1C9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όλους τους</w:t>
      </w:r>
      <w:r w:rsidRPr="002A75B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εργαζομένους </w:t>
      </w:r>
      <w:r w:rsidR="009B4A1E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της</w:t>
      </w:r>
    </w:p>
    <w:p w14:paraId="15163B3C" w14:textId="213C742B" w:rsidR="002A75B3" w:rsidRDefault="002A75B3" w:rsidP="00EC6CFC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Α</w:t>
      </w:r>
      <w:r w:rsidRPr="002A75B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ποδεικνύει έμπρακτα, για μια ακόμη φορά, την αφοσίωση και τις συνεχείς επενδύσεις </w:t>
      </w:r>
      <w:r w:rsidR="004B4B4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στους</w:t>
      </w:r>
      <w:r w:rsidRPr="002A75B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AB1C9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περισσότερους από 6</w:t>
      </w:r>
      <w:r w:rsidR="004B4B4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.</w:t>
      </w:r>
      <w:r w:rsidR="00AB1C9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700 </w:t>
      </w:r>
      <w:r w:rsidRPr="002A75B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ανθρώπους της</w:t>
      </w:r>
      <w:r w:rsidR="00B5516C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.</w:t>
      </w:r>
      <w:r w:rsidRPr="002A75B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</w:p>
    <w:p w14:paraId="28637CB2" w14:textId="747A34B5" w:rsidR="00180447" w:rsidRDefault="00EC6CFC" w:rsidP="6D6A69DF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47905725">
        <w:rPr>
          <w:rStyle w:val="lidl-rtefontface-3"/>
          <w:rFonts w:ascii="Lidl Font Pro" w:hAnsi="Lidl Font Pro"/>
          <w:sz w:val="22"/>
          <w:szCs w:val="22"/>
        </w:rPr>
        <w:t xml:space="preserve">Η διοίκηση της </w:t>
      </w:r>
      <w:r w:rsidR="002A75B3">
        <w:rPr>
          <w:rStyle w:val="lidl-rtefontface-3"/>
          <w:rFonts w:ascii="Lidl Font Pro" w:hAnsi="Lidl Font Pro"/>
          <w:sz w:val="22"/>
          <w:szCs w:val="22"/>
        </w:rPr>
        <w:t>Lidl Ελλάς</w:t>
      </w:r>
      <w:r w:rsidRPr="47905725">
        <w:rPr>
          <w:rStyle w:val="lidl-rtefontface-3"/>
          <w:rFonts w:ascii="Lidl Font Pro" w:hAnsi="Lidl Font Pro"/>
          <w:sz w:val="22"/>
          <w:szCs w:val="22"/>
        </w:rPr>
        <w:t xml:space="preserve"> προχωρά στη χορήγηση </w:t>
      </w:r>
      <w:r w:rsidR="004B4B44" w:rsidRPr="004B4B44">
        <w:rPr>
          <w:rStyle w:val="lidl-rtefontface-3"/>
          <w:rFonts w:ascii="Lidl Font Pro" w:hAnsi="Lidl Font Pro"/>
          <w:b/>
          <w:bCs/>
          <w:sz w:val="22"/>
          <w:szCs w:val="22"/>
        </w:rPr>
        <w:t>μισθολογικών</w:t>
      </w:r>
      <w:r w:rsidR="004B4B4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47905725">
        <w:rPr>
          <w:rStyle w:val="lidl-rtefontface-3"/>
          <w:rFonts w:ascii="Lidl Font Pro" w:hAnsi="Lidl Font Pro"/>
          <w:b/>
          <w:bCs/>
          <w:sz w:val="22"/>
          <w:szCs w:val="22"/>
        </w:rPr>
        <w:t>αυξήσεων και επιπρόσθετων παροχών συνολικού ύψους 6,7 εκατ</w:t>
      </w:r>
      <w:r w:rsidR="000064BE">
        <w:rPr>
          <w:rStyle w:val="lidl-rtefontface-3"/>
          <w:rFonts w:ascii="Lidl Font Pro" w:hAnsi="Lidl Font Pro"/>
          <w:b/>
          <w:bCs/>
          <w:sz w:val="22"/>
          <w:szCs w:val="22"/>
        </w:rPr>
        <w:t>.</w:t>
      </w:r>
      <w:r w:rsidRPr="47905725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ευρώ</w:t>
      </w:r>
      <w:r w:rsidR="00907D9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="00180447">
        <w:rPr>
          <w:rStyle w:val="lidl-rtefontface-3"/>
          <w:rFonts w:ascii="Lidl Font Pro" w:hAnsi="Lidl Font Pro"/>
          <w:b/>
          <w:bCs/>
          <w:sz w:val="22"/>
          <w:szCs w:val="22"/>
        </w:rPr>
        <w:t>για το</w:t>
      </w:r>
      <w:r w:rsidR="00907D90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σύνολο των εργαζομένων της, </w:t>
      </w:r>
      <w:r w:rsidRPr="47905725">
        <w:rPr>
          <w:rStyle w:val="lidl-rtefontface-3"/>
          <w:rFonts w:ascii="Lidl Font Pro" w:hAnsi="Lidl Font Pro"/>
          <w:sz w:val="22"/>
          <w:szCs w:val="22"/>
        </w:rPr>
        <w:t>ως επιβράβευση για τη συλλογική προσπάθεια</w:t>
      </w:r>
      <w:r w:rsidR="00F57DF1" w:rsidRPr="47905725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47905725">
        <w:rPr>
          <w:rStyle w:val="lidl-rtefontface-3"/>
          <w:rFonts w:ascii="Lidl Font Pro" w:hAnsi="Lidl Font Pro"/>
          <w:sz w:val="22"/>
          <w:szCs w:val="22"/>
        </w:rPr>
        <w:t>και συνεισφορά τους κατά το προηγούμενο οικονομικό έτος.</w:t>
      </w:r>
    </w:p>
    <w:p w14:paraId="5811C93A" w14:textId="39B7A201" w:rsidR="00EC6CFC" w:rsidRDefault="007328D9" w:rsidP="6D6A69DF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F40E08">
        <w:rPr>
          <w:rStyle w:val="lidl-rtefontface-3"/>
          <w:rFonts w:ascii="Lidl Font Pro" w:hAnsi="Lidl Font Pro"/>
          <w:sz w:val="22"/>
          <w:szCs w:val="22"/>
        </w:rPr>
        <w:t xml:space="preserve">Η ενίσχυση αυτή </w:t>
      </w:r>
      <w:r w:rsidR="00EC6CFC" w:rsidRPr="00F40E08">
        <w:rPr>
          <w:rStyle w:val="lidl-rtefontface-3"/>
          <w:rFonts w:ascii="Lidl Font Pro" w:hAnsi="Lidl Font Pro"/>
          <w:sz w:val="22"/>
          <w:szCs w:val="22"/>
        </w:rPr>
        <w:t xml:space="preserve">έρχεται να προστεθεί </w:t>
      </w:r>
      <w:r w:rsidR="00C22095" w:rsidRPr="00F40E08">
        <w:rPr>
          <w:rStyle w:val="lidl-rtefontface-3"/>
          <w:rFonts w:ascii="Lidl Font Pro" w:hAnsi="Lidl Font Pro"/>
          <w:sz w:val="22"/>
          <w:szCs w:val="22"/>
        </w:rPr>
        <w:t>σε ένα πακέτο παροχών συνολικής αξίας 2 εκατ.</w:t>
      </w:r>
      <w:r w:rsidR="00571076" w:rsidRPr="00F40E08">
        <w:rPr>
          <w:rStyle w:val="lidl-rtefontface-3"/>
          <w:rFonts w:ascii="Lidl Font Pro" w:hAnsi="Lidl Font Pro"/>
          <w:sz w:val="22"/>
          <w:szCs w:val="22"/>
          <w:lang w:val="en-150"/>
        </w:rPr>
        <w:t xml:space="preserve"> </w:t>
      </w:r>
      <w:r w:rsidR="00C22095" w:rsidRPr="00F40E08">
        <w:rPr>
          <w:rStyle w:val="lidl-rtefontface-3"/>
          <w:rFonts w:ascii="Lidl Font Pro" w:hAnsi="Lidl Font Pro"/>
          <w:sz w:val="22"/>
          <w:szCs w:val="22"/>
        </w:rPr>
        <w:t xml:space="preserve">ευρώ </w:t>
      </w:r>
      <w:r w:rsidR="00324E55" w:rsidRPr="00F40E08">
        <w:rPr>
          <w:rStyle w:val="lidl-rtefontface-3"/>
          <w:rFonts w:ascii="Lidl Font Pro" w:hAnsi="Lidl Font Pro"/>
          <w:sz w:val="22"/>
          <w:szCs w:val="22"/>
        </w:rPr>
        <w:t>που ανακοινώθηκ</w:t>
      </w:r>
      <w:r w:rsidR="00C22095" w:rsidRPr="00F40E08">
        <w:rPr>
          <w:rStyle w:val="lidl-rtefontface-3"/>
          <w:rFonts w:ascii="Lidl Font Pro" w:hAnsi="Lidl Font Pro"/>
          <w:sz w:val="22"/>
          <w:szCs w:val="22"/>
        </w:rPr>
        <w:t>ε</w:t>
      </w:r>
      <w:r w:rsidR="00324E55" w:rsidRPr="00F40E08">
        <w:rPr>
          <w:rStyle w:val="lidl-rtefontface-3"/>
          <w:rFonts w:ascii="Lidl Font Pro" w:hAnsi="Lidl Font Pro"/>
          <w:sz w:val="22"/>
          <w:szCs w:val="22"/>
        </w:rPr>
        <w:t xml:space="preserve"> τον περασμένο Μά</w:t>
      </w:r>
      <w:r w:rsidR="00BF3FD3" w:rsidRPr="00F40E08">
        <w:rPr>
          <w:rStyle w:val="lidl-rtefontface-3"/>
          <w:rFonts w:ascii="Lidl Font Pro" w:hAnsi="Lidl Font Pro"/>
          <w:sz w:val="22"/>
          <w:szCs w:val="22"/>
        </w:rPr>
        <w:t>ιο</w:t>
      </w:r>
      <w:r w:rsidR="00F40E08" w:rsidRPr="00F40E08">
        <w:rPr>
          <w:rStyle w:val="lidl-rtefontface-3"/>
          <w:rFonts w:ascii="Lidl Font Pro" w:hAnsi="Lidl Font Pro"/>
          <w:sz w:val="22"/>
          <w:szCs w:val="22"/>
          <w:lang w:val="en-150"/>
        </w:rPr>
        <w:t xml:space="preserve"> </w:t>
      </w:r>
      <w:r w:rsidR="00F40E08" w:rsidRPr="00F40E08">
        <w:rPr>
          <w:rStyle w:val="lidl-rtefontface-3"/>
          <w:rFonts w:ascii="Lidl Font Pro" w:hAnsi="Lidl Font Pro"/>
          <w:sz w:val="22"/>
          <w:szCs w:val="22"/>
        </w:rPr>
        <w:t>και έχει ήδη υλοποιηθεί</w:t>
      </w:r>
      <w:r w:rsidR="006C6B0A" w:rsidRPr="00F40E08">
        <w:rPr>
          <w:rStyle w:val="lidl-rtefontface-3"/>
          <w:rFonts w:ascii="Lidl Font Pro" w:hAnsi="Lidl Font Pro"/>
          <w:sz w:val="22"/>
          <w:szCs w:val="22"/>
        </w:rPr>
        <w:t>,</w:t>
      </w:r>
      <w:r w:rsidR="00BF3FD3" w:rsidRPr="00F40E0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6C6B0A" w:rsidRPr="00F40E08">
        <w:rPr>
          <w:rStyle w:val="lidl-rtefontface-3"/>
          <w:rFonts w:ascii="Lidl Font Pro" w:hAnsi="Lidl Font Pro"/>
          <w:sz w:val="22"/>
          <w:szCs w:val="22"/>
        </w:rPr>
        <w:t>όσο</w:t>
      </w:r>
      <w:r w:rsidR="00BF3FD3" w:rsidRPr="00F40E08">
        <w:rPr>
          <w:rStyle w:val="lidl-rtefontface-3"/>
          <w:rFonts w:ascii="Lidl Font Pro" w:hAnsi="Lidl Font Pro"/>
          <w:sz w:val="22"/>
          <w:szCs w:val="22"/>
        </w:rPr>
        <w:t xml:space="preserve"> και στο</w:t>
      </w:r>
      <w:r w:rsidR="00F57DF1" w:rsidRPr="00F40E0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C22095" w:rsidRPr="00F40E08">
        <w:rPr>
          <w:rStyle w:val="lidl-rtefontface-3"/>
          <w:rFonts w:ascii="Lidl Font Pro" w:hAnsi="Lidl Font Pro"/>
          <w:sz w:val="22"/>
          <w:szCs w:val="22"/>
        </w:rPr>
        <w:t>ήδη</w:t>
      </w:r>
      <w:r w:rsidR="00F57DF1" w:rsidRPr="00F40E08">
        <w:rPr>
          <w:rStyle w:val="lidl-rtefontface-3"/>
          <w:rFonts w:ascii="Lidl Font Pro" w:hAnsi="Lidl Font Pro"/>
          <w:sz w:val="22"/>
          <w:szCs w:val="22"/>
        </w:rPr>
        <w:t xml:space="preserve"> υπάρχον ανταγωνιστικό πακέτο αμοιβών και παροχών της εταιρ</w:t>
      </w:r>
      <w:r w:rsidR="00940908" w:rsidRPr="00F40E08">
        <w:rPr>
          <w:rStyle w:val="lidl-rtefontface-3"/>
          <w:rFonts w:ascii="Lidl Font Pro" w:hAnsi="Lidl Font Pro"/>
          <w:sz w:val="22"/>
          <w:szCs w:val="22"/>
        </w:rPr>
        <w:t>ε</w:t>
      </w:r>
      <w:r w:rsidR="00F57DF1" w:rsidRPr="00F40E08">
        <w:rPr>
          <w:rStyle w:val="lidl-rtefontface-3"/>
          <w:rFonts w:ascii="Lidl Font Pro" w:hAnsi="Lidl Font Pro"/>
          <w:sz w:val="22"/>
          <w:szCs w:val="22"/>
        </w:rPr>
        <w:t>ίας</w:t>
      </w:r>
      <w:r w:rsidR="00BF3FD3" w:rsidRPr="00F40E08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14FD9F57" w14:textId="58B9B056" w:rsidR="00EC6CFC" w:rsidRDefault="00EC6CFC" w:rsidP="6D6A69DF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6D6A69DF">
        <w:rPr>
          <w:rStyle w:val="lidl-rtefontface-3"/>
          <w:rFonts w:ascii="Lidl Font Pro" w:hAnsi="Lidl Font Pro"/>
          <w:sz w:val="22"/>
          <w:szCs w:val="22"/>
        </w:rPr>
        <w:t>«Αντιμετωπίζουμε μια ακόμα ιδιαίτερ</w:t>
      </w:r>
      <w:r w:rsidR="007A1F94" w:rsidRPr="6D6A69DF">
        <w:rPr>
          <w:rStyle w:val="lidl-rtefontface-3"/>
          <w:rFonts w:ascii="Lidl Font Pro" w:hAnsi="Lidl Font Pro"/>
          <w:sz w:val="22"/>
          <w:szCs w:val="22"/>
        </w:rPr>
        <w:t>η</w:t>
      </w:r>
      <w:r w:rsidRPr="6D6A69DF">
        <w:rPr>
          <w:rStyle w:val="lidl-rtefontface-3"/>
          <w:rFonts w:ascii="Lidl Font Pro" w:hAnsi="Lidl Font Pro"/>
          <w:sz w:val="22"/>
          <w:szCs w:val="22"/>
        </w:rPr>
        <w:t xml:space="preserve"> χρονιά. Για ακόμη μια φορά, καλούμαστε να </w:t>
      </w:r>
      <w:r w:rsidRPr="6D6A69DF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εργαστούμε </w:t>
      </w:r>
      <w:r w:rsidR="005153F5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όλες και όλοι </w:t>
      </w:r>
      <w:r w:rsidR="00BB3FCF" w:rsidRPr="6D6A69DF">
        <w:rPr>
          <w:rStyle w:val="lidl-rtefontface-3"/>
          <w:rFonts w:ascii="Lidl Font Pro" w:hAnsi="Lidl Font Pro"/>
          <w:b/>
          <w:bCs/>
          <w:sz w:val="22"/>
          <w:szCs w:val="22"/>
        </w:rPr>
        <w:t>μαζί</w:t>
      </w:r>
      <w:r w:rsidR="00BB3FCF" w:rsidRPr="6D6A69DF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BB3FCF" w:rsidRPr="6D6A69DF">
        <w:rPr>
          <w:rFonts w:ascii="Lidl Font Pro" w:hAnsi="Lidl Font Pro"/>
          <w:sz w:val="22"/>
          <w:szCs w:val="22"/>
        </w:rPr>
        <w:t>με τον μοναδικό τρόπο που χαρακτηρίζει την ομάδα της Lidl Ελλάς, με εμπιστοσύνη, αισιοδοξία, φιλοδοξία, δικαιοσύνη και ομαδικότητα, κάτω από τις πιο απαιτητικές συνθήκες</w:t>
      </w:r>
      <w:r w:rsidR="002872AE">
        <w:rPr>
          <w:rFonts w:ascii="Lidl Font Pro" w:hAnsi="Lidl Font Pro"/>
          <w:sz w:val="22"/>
          <w:szCs w:val="22"/>
        </w:rPr>
        <w:t>,</w:t>
      </w:r>
      <w:r w:rsidR="00BB3FCF" w:rsidRPr="6D6A69DF">
        <w:rPr>
          <w:rFonts w:ascii="Lidl Font Pro" w:hAnsi="Lidl Font Pro"/>
          <w:sz w:val="22"/>
          <w:szCs w:val="22"/>
        </w:rPr>
        <w:t xml:space="preserve"> ώστε να προσφέρουμε στους καταναλωτές προϊόντα εξαιρετικής ποιότητας στις καλύτερες τιμές της αγοράς» </w:t>
      </w:r>
      <w:r w:rsidRPr="6D6A69DF">
        <w:rPr>
          <w:rStyle w:val="lidl-rtefontface-3"/>
          <w:rFonts w:ascii="Lidl Font Pro" w:hAnsi="Lidl Font Pro"/>
          <w:sz w:val="22"/>
          <w:szCs w:val="22"/>
        </w:rPr>
        <w:t xml:space="preserve">δήλωσε σχετικά ο </w:t>
      </w:r>
      <w:r w:rsidRPr="6D6A69DF">
        <w:rPr>
          <w:rStyle w:val="lidl-rtefontface-3"/>
          <w:rFonts w:ascii="Lidl Font Pro" w:hAnsi="Lidl Font Pro"/>
          <w:sz w:val="22"/>
          <w:szCs w:val="22"/>
          <w:lang w:val="en-US"/>
        </w:rPr>
        <w:t>Martin</w:t>
      </w:r>
      <w:r w:rsidRPr="6D6A69D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6D6A69DF">
        <w:rPr>
          <w:rStyle w:val="lidl-rtefontface-3"/>
          <w:rFonts w:ascii="Lidl Font Pro" w:hAnsi="Lidl Font Pro"/>
          <w:sz w:val="22"/>
          <w:szCs w:val="22"/>
          <w:lang w:val="en-US"/>
        </w:rPr>
        <w:t>Brandenburger</w:t>
      </w:r>
      <w:r w:rsidR="00791146">
        <w:rPr>
          <w:rStyle w:val="lidl-rtefontface-3"/>
          <w:rFonts w:ascii="Lidl Font Pro" w:hAnsi="Lidl Font Pro"/>
          <w:sz w:val="22"/>
          <w:szCs w:val="22"/>
        </w:rPr>
        <w:t>,</w:t>
      </w:r>
      <w:r w:rsidRPr="6D6A69DF">
        <w:rPr>
          <w:rStyle w:val="lidl-rtefontface-3"/>
          <w:rFonts w:ascii="Lidl Font Pro" w:hAnsi="Lidl Font Pro"/>
          <w:sz w:val="22"/>
          <w:szCs w:val="22"/>
        </w:rPr>
        <w:t xml:space="preserve"> Πρόεδρος </w:t>
      </w:r>
      <w:r w:rsidR="00BB3FCF" w:rsidRPr="6D6A69DF">
        <w:rPr>
          <w:rStyle w:val="lidl-rtefontface-3"/>
          <w:rFonts w:ascii="Lidl Font Pro" w:hAnsi="Lidl Font Pro"/>
          <w:sz w:val="22"/>
          <w:szCs w:val="22"/>
        </w:rPr>
        <w:t xml:space="preserve">Διοίκησης </w:t>
      </w:r>
      <w:r w:rsidRPr="6D6A69DF">
        <w:rPr>
          <w:rStyle w:val="lidl-rtefontface-3"/>
          <w:rFonts w:ascii="Lidl Font Pro" w:hAnsi="Lidl Font Pro"/>
          <w:sz w:val="22"/>
          <w:szCs w:val="22"/>
        </w:rPr>
        <w:t>της Lidl Ελλάς.</w:t>
      </w:r>
    </w:p>
    <w:p w14:paraId="70919B95" w14:textId="5343EC89" w:rsidR="00AD3852" w:rsidRPr="00C22095" w:rsidRDefault="00F97689" w:rsidP="00F97689">
      <w:pPr>
        <w:pStyle w:val="NormalWeb"/>
        <w:spacing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  <w:r>
        <w:rPr>
          <w:rFonts w:ascii="Lidl Font Pro" w:hAnsi="Lidl Font Pro"/>
          <w:sz w:val="22"/>
          <w:szCs w:val="22"/>
        </w:rPr>
        <w:t xml:space="preserve">Στη </w:t>
      </w:r>
      <w:r>
        <w:rPr>
          <w:rFonts w:ascii="Lidl Font Pro" w:hAnsi="Lidl Font Pro"/>
          <w:sz w:val="22"/>
          <w:szCs w:val="22"/>
          <w:lang w:val="en-US"/>
        </w:rPr>
        <w:t>Lidl</w:t>
      </w:r>
      <w:r w:rsidRPr="00F97689">
        <w:rPr>
          <w:rFonts w:ascii="Lidl Font Pro" w:hAnsi="Lidl Font Pro"/>
          <w:sz w:val="22"/>
          <w:szCs w:val="22"/>
        </w:rPr>
        <w:t xml:space="preserve"> </w:t>
      </w:r>
      <w:r>
        <w:rPr>
          <w:rFonts w:ascii="Lidl Font Pro" w:hAnsi="Lidl Font Pro"/>
          <w:sz w:val="22"/>
          <w:szCs w:val="22"/>
        </w:rPr>
        <w:t>Ελλάς οι άνθρωποι κάνουν τη διαφορά</w:t>
      </w:r>
      <w:r w:rsidR="006C6B0A">
        <w:rPr>
          <w:rFonts w:ascii="Lidl Font Pro" w:hAnsi="Lidl Font Pro"/>
          <w:sz w:val="22"/>
          <w:szCs w:val="22"/>
        </w:rPr>
        <w:t xml:space="preserve">. Και η εταιρεία </w:t>
      </w:r>
      <w:r w:rsidR="000B065D" w:rsidRPr="000B065D">
        <w:rPr>
          <w:rFonts w:ascii="Lidl Font Pro" w:hAnsi="Lidl Font Pro"/>
          <w:sz w:val="22"/>
          <w:szCs w:val="22"/>
        </w:rPr>
        <w:t xml:space="preserve">αποδεικνύει έμπρακτα, για μια ακόμη φορά, την αφοσίωση και τις συνεχείς επενδύσεις με επίκεντρο τους ανθρώπους </w:t>
      </w:r>
      <w:r w:rsidR="000B065D">
        <w:rPr>
          <w:rFonts w:ascii="Lidl Font Pro" w:hAnsi="Lidl Font Pro"/>
          <w:sz w:val="22"/>
          <w:szCs w:val="22"/>
        </w:rPr>
        <w:t>της.</w:t>
      </w:r>
      <w:r w:rsidR="00C22095">
        <w:rPr>
          <w:rFonts w:ascii="Lidl Font Pro" w:hAnsi="Lidl Font Pro"/>
          <w:sz w:val="22"/>
          <w:szCs w:val="22"/>
        </w:rPr>
        <w:t xml:space="preserve"> </w:t>
      </w:r>
      <w:r w:rsidR="00A171E7">
        <w:rPr>
          <w:rFonts w:ascii="Lidl Font Pro" w:hAnsi="Lidl Font Pro"/>
          <w:sz w:val="22"/>
          <w:szCs w:val="22"/>
        </w:rPr>
        <w:t>Για αυτό και παραμένει</w:t>
      </w:r>
      <w:r w:rsidR="00C22095" w:rsidRPr="00F40E08">
        <w:rPr>
          <w:rFonts w:ascii="Lidl Font Pro" w:hAnsi="Lidl Font Pro"/>
          <w:sz w:val="22"/>
          <w:szCs w:val="22"/>
        </w:rPr>
        <w:t xml:space="preserve"> </w:t>
      </w:r>
      <w:r w:rsidR="003B6BB7" w:rsidRPr="00F40E08">
        <w:rPr>
          <w:rFonts w:ascii="Lidl Font Pro" w:hAnsi="Lidl Font Pro"/>
          <w:sz w:val="22"/>
          <w:szCs w:val="22"/>
        </w:rPr>
        <w:t>Κορυφαίος Εργοδότης</w:t>
      </w:r>
      <w:r w:rsidR="00C22095" w:rsidRPr="00F40E08">
        <w:rPr>
          <w:rFonts w:ascii="Lidl Font Pro" w:hAnsi="Lidl Font Pro"/>
          <w:sz w:val="22"/>
          <w:szCs w:val="22"/>
        </w:rPr>
        <w:t xml:space="preserve"> για 7 συνεχόμενη χρονιά.</w:t>
      </w:r>
      <w:r w:rsidR="00C22095">
        <w:rPr>
          <w:rFonts w:ascii="Lidl Font Pro" w:hAnsi="Lidl Font Pro"/>
          <w:sz w:val="22"/>
          <w:szCs w:val="22"/>
        </w:rPr>
        <w:t xml:space="preserve"> </w:t>
      </w:r>
    </w:p>
    <w:p w14:paraId="7C9B6B1A" w14:textId="74B3055F" w:rsidR="0045512F" w:rsidRDefault="0045512F" w:rsidP="00F97689">
      <w:pPr>
        <w:pStyle w:val="NormalWeb"/>
        <w:spacing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</w:p>
    <w:p w14:paraId="12E1FA16" w14:textId="77777777" w:rsidR="00F40E08" w:rsidRDefault="00F40E08" w:rsidP="00F97689">
      <w:pPr>
        <w:pStyle w:val="NormalWeb"/>
        <w:spacing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</w:p>
    <w:p w14:paraId="5D1031AC" w14:textId="514E721E" w:rsidR="0045512F" w:rsidRDefault="0045512F" w:rsidP="00F97689">
      <w:pPr>
        <w:pStyle w:val="NormalWeb"/>
        <w:spacing w:after="120" w:afterAutospacing="0" w:line="360" w:lineRule="auto"/>
        <w:jc w:val="both"/>
        <w:rPr>
          <w:rFonts w:ascii="Lidl Font Pro" w:hAnsi="Lidl Font Pro"/>
          <w:sz w:val="22"/>
          <w:szCs w:val="22"/>
        </w:rPr>
      </w:pPr>
    </w:p>
    <w:p w14:paraId="497CD28C" w14:textId="77777777" w:rsidR="0045512F" w:rsidRPr="00F97689" w:rsidRDefault="0045512F" w:rsidP="00F97689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A171E7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08EA2C3B" w14:textId="77777777" w:rsidR="00D463C2" w:rsidRPr="001D2223" w:rsidRDefault="00D463C2" w:rsidP="00D463C2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lang w:val="en-US"/>
        </w:rPr>
      </w:pPr>
      <w:r w:rsidRPr="001D2223">
        <w:rPr>
          <w:rFonts w:ascii="Lidl Font Pro" w:hAnsi="Lidl Font Pro"/>
          <w:b/>
          <w:bCs/>
          <w:color w:val="1F497D"/>
          <w:lang w:val="en-US"/>
        </w:rPr>
        <w:t>team.</w:t>
      </w:r>
      <w:hyperlink r:id="rId9" w:history="1">
        <w:r w:rsidRPr="001D2223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1D2223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D484A35" w14:textId="6442B969" w:rsidR="00FE7457" w:rsidRPr="001F6678" w:rsidRDefault="00A171E7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A171E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A171E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A171E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4"/>
      <w:footerReference w:type="default" r:id="rId15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98E07" w14:textId="77777777" w:rsidR="00C66D4B" w:rsidRDefault="00C66D4B" w:rsidP="00C15348">
      <w:pPr>
        <w:spacing w:after="0" w:line="240" w:lineRule="auto"/>
      </w:pPr>
      <w:r>
        <w:separator/>
      </w:r>
    </w:p>
  </w:endnote>
  <w:endnote w:type="continuationSeparator" w:id="0">
    <w:p w14:paraId="623C4099" w14:textId="77777777" w:rsidR="00C66D4B" w:rsidRDefault="00C66D4B" w:rsidP="00C15348">
      <w:pPr>
        <w:spacing w:after="0" w:line="240" w:lineRule="auto"/>
      </w:pPr>
      <w:r>
        <w:continuationSeparator/>
      </w:r>
    </w:p>
  </w:endnote>
  <w:endnote w:type="continuationNotice" w:id="1">
    <w:p w14:paraId="4850C8AF" w14:textId="77777777" w:rsidR="00632513" w:rsidRDefault="00632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color w:val="2B579A"/>
        <w:shd w:val="clear" w:color="auto" w:fill="E6E6E6"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60875" w14:textId="77777777" w:rsidR="00C66D4B" w:rsidRDefault="00C66D4B" w:rsidP="00C15348">
      <w:pPr>
        <w:spacing w:after="0" w:line="240" w:lineRule="auto"/>
      </w:pPr>
      <w:r>
        <w:separator/>
      </w:r>
    </w:p>
  </w:footnote>
  <w:footnote w:type="continuationSeparator" w:id="0">
    <w:p w14:paraId="2BF64D49" w14:textId="77777777" w:rsidR="00C66D4B" w:rsidRDefault="00C66D4B" w:rsidP="00C15348">
      <w:pPr>
        <w:spacing w:after="0" w:line="240" w:lineRule="auto"/>
      </w:pPr>
      <w:r>
        <w:continuationSeparator/>
      </w:r>
    </w:p>
  </w:footnote>
  <w:footnote w:type="continuationNotice" w:id="1">
    <w:p w14:paraId="320BCEEA" w14:textId="77777777" w:rsidR="00632513" w:rsidRDefault="00632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color w:val="2B579A"/>
        <w:shd w:val="clear" w:color="auto" w:fill="E6E6E6"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color w:val="2B579A"/>
        <w:shd w:val="clear" w:color="auto" w:fill="E6E6E6"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64BE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959CF"/>
    <w:rsid w:val="000A0C30"/>
    <w:rsid w:val="000A1CDB"/>
    <w:rsid w:val="000A1DDC"/>
    <w:rsid w:val="000A3234"/>
    <w:rsid w:val="000A4225"/>
    <w:rsid w:val="000A7472"/>
    <w:rsid w:val="000A7CDB"/>
    <w:rsid w:val="000B065D"/>
    <w:rsid w:val="000B0743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238D"/>
    <w:rsid w:val="00153D2D"/>
    <w:rsid w:val="00161C78"/>
    <w:rsid w:val="00162B5D"/>
    <w:rsid w:val="0016448B"/>
    <w:rsid w:val="001741A0"/>
    <w:rsid w:val="00180447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326"/>
    <w:rsid w:val="00257AB3"/>
    <w:rsid w:val="00257C0F"/>
    <w:rsid w:val="00274439"/>
    <w:rsid w:val="00276D05"/>
    <w:rsid w:val="00282D77"/>
    <w:rsid w:val="002872AE"/>
    <w:rsid w:val="00291837"/>
    <w:rsid w:val="00296D08"/>
    <w:rsid w:val="002A75B3"/>
    <w:rsid w:val="002A7C9A"/>
    <w:rsid w:val="002B156B"/>
    <w:rsid w:val="002B6C2B"/>
    <w:rsid w:val="002B6F57"/>
    <w:rsid w:val="002C0DD0"/>
    <w:rsid w:val="002C78CB"/>
    <w:rsid w:val="002D5247"/>
    <w:rsid w:val="002D6041"/>
    <w:rsid w:val="002D7980"/>
    <w:rsid w:val="002E498C"/>
    <w:rsid w:val="002E68DD"/>
    <w:rsid w:val="002F0181"/>
    <w:rsid w:val="002F22C8"/>
    <w:rsid w:val="002F5DFF"/>
    <w:rsid w:val="00303911"/>
    <w:rsid w:val="00306FEF"/>
    <w:rsid w:val="00317252"/>
    <w:rsid w:val="00324E55"/>
    <w:rsid w:val="00337A0D"/>
    <w:rsid w:val="00340366"/>
    <w:rsid w:val="00344923"/>
    <w:rsid w:val="00354E9D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B6BB7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DC4"/>
    <w:rsid w:val="00415F2D"/>
    <w:rsid w:val="004339B9"/>
    <w:rsid w:val="00434C16"/>
    <w:rsid w:val="00436EB4"/>
    <w:rsid w:val="00443DFD"/>
    <w:rsid w:val="004470A0"/>
    <w:rsid w:val="00447F97"/>
    <w:rsid w:val="0045512F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62EF"/>
    <w:rsid w:val="004A752A"/>
    <w:rsid w:val="004B4B44"/>
    <w:rsid w:val="004B5BC6"/>
    <w:rsid w:val="004B69B8"/>
    <w:rsid w:val="004D2759"/>
    <w:rsid w:val="004D5103"/>
    <w:rsid w:val="004D5642"/>
    <w:rsid w:val="004D5A97"/>
    <w:rsid w:val="004E1B59"/>
    <w:rsid w:val="004F6C8B"/>
    <w:rsid w:val="004F736C"/>
    <w:rsid w:val="00501833"/>
    <w:rsid w:val="00501C4B"/>
    <w:rsid w:val="00504728"/>
    <w:rsid w:val="005050DA"/>
    <w:rsid w:val="00506274"/>
    <w:rsid w:val="00506CBC"/>
    <w:rsid w:val="0051501B"/>
    <w:rsid w:val="005153F5"/>
    <w:rsid w:val="00523EE8"/>
    <w:rsid w:val="00526BF2"/>
    <w:rsid w:val="005530C4"/>
    <w:rsid w:val="00553E94"/>
    <w:rsid w:val="00554C7C"/>
    <w:rsid w:val="00571076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2513"/>
    <w:rsid w:val="00633E64"/>
    <w:rsid w:val="00636F23"/>
    <w:rsid w:val="00640725"/>
    <w:rsid w:val="00641012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818A2"/>
    <w:rsid w:val="0069175B"/>
    <w:rsid w:val="00691F7A"/>
    <w:rsid w:val="00694718"/>
    <w:rsid w:val="006A61C9"/>
    <w:rsid w:val="006B3851"/>
    <w:rsid w:val="006C1700"/>
    <w:rsid w:val="006C5678"/>
    <w:rsid w:val="006C6B0A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328D9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1146"/>
    <w:rsid w:val="00794F0D"/>
    <w:rsid w:val="007A1A19"/>
    <w:rsid w:val="007A1F94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426D"/>
    <w:rsid w:val="0082661C"/>
    <w:rsid w:val="00830975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0E2D"/>
    <w:rsid w:val="009012C7"/>
    <w:rsid w:val="00904528"/>
    <w:rsid w:val="0090693B"/>
    <w:rsid w:val="00907D90"/>
    <w:rsid w:val="00910748"/>
    <w:rsid w:val="00915B02"/>
    <w:rsid w:val="00916C12"/>
    <w:rsid w:val="00940908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918B9"/>
    <w:rsid w:val="009A2687"/>
    <w:rsid w:val="009A57DD"/>
    <w:rsid w:val="009A7E98"/>
    <w:rsid w:val="009B1438"/>
    <w:rsid w:val="009B4A1E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171E7"/>
    <w:rsid w:val="00A2171F"/>
    <w:rsid w:val="00A24C32"/>
    <w:rsid w:val="00A25F75"/>
    <w:rsid w:val="00A30DFB"/>
    <w:rsid w:val="00A33E2E"/>
    <w:rsid w:val="00A34E43"/>
    <w:rsid w:val="00A3667E"/>
    <w:rsid w:val="00A37707"/>
    <w:rsid w:val="00A41A86"/>
    <w:rsid w:val="00A43D39"/>
    <w:rsid w:val="00A45D6B"/>
    <w:rsid w:val="00A47E30"/>
    <w:rsid w:val="00A5088B"/>
    <w:rsid w:val="00A5273D"/>
    <w:rsid w:val="00A5328B"/>
    <w:rsid w:val="00A56179"/>
    <w:rsid w:val="00A655DB"/>
    <w:rsid w:val="00A66AD5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1C94"/>
    <w:rsid w:val="00AB3B4C"/>
    <w:rsid w:val="00AC22D1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27F18"/>
    <w:rsid w:val="00B310F9"/>
    <w:rsid w:val="00B340B5"/>
    <w:rsid w:val="00B357E1"/>
    <w:rsid w:val="00B36DCD"/>
    <w:rsid w:val="00B37062"/>
    <w:rsid w:val="00B5516C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B2559"/>
    <w:rsid w:val="00BB3FCF"/>
    <w:rsid w:val="00BC6DC9"/>
    <w:rsid w:val="00BC709A"/>
    <w:rsid w:val="00BD4063"/>
    <w:rsid w:val="00BD4C6E"/>
    <w:rsid w:val="00BD7CE9"/>
    <w:rsid w:val="00BE2D1C"/>
    <w:rsid w:val="00BF0396"/>
    <w:rsid w:val="00BF3FD3"/>
    <w:rsid w:val="00C0059B"/>
    <w:rsid w:val="00C03EF0"/>
    <w:rsid w:val="00C03FD5"/>
    <w:rsid w:val="00C07C55"/>
    <w:rsid w:val="00C1031B"/>
    <w:rsid w:val="00C15348"/>
    <w:rsid w:val="00C16FE2"/>
    <w:rsid w:val="00C173F2"/>
    <w:rsid w:val="00C22095"/>
    <w:rsid w:val="00C25999"/>
    <w:rsid w:val="00C31BDA"/>
    <w:rsid w:val="00C34690"/>
    <w:rsid w:val="00C34719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2433D"/>
    <w:rsid w:val="00D27440"/>
    <w:rsid w:val="00D35440"/>
    <w:rsid w:val="00D41667"/>
    <w:rsid w:val="00D463C2"/>
    <w:rsid w:val="00D628C6"/>
    <w:rsid w:val="00D64D1B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41DEE"/>
    <w:rsid w:val="00E42493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1D7F"/>
    <w:rsid w:val="00E92E34"/>
    <w:rsid w:val="00EA5F85"/>
    <w:rsid w:val="00EA7CE4"/>
    <w:rsid w:val="00EB3032"/>
    <w:rsid w:val="00EB42FB"/>
    <w:rsid w:val="00EC4D1C"/>
    <w:rsid w:val="00EC4F0D"/>
    <w:rsid w:val="00EC5AD8"/>
    <w:rsid w:val="00EC6CFC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E7E"/>
    <w:rsid w:val="00F341C1"/>
    <w:rsid w:val="00F40E08"/>
    <w:rsid w:val="00F43BB5"/>
    <w:rsid w:val="00F5228D"/>
    <w:rsid w:val="00F56C4E"/>
    <w:rsid w:val="00F57DF1"/>
    <w:rsid w:val="00F600E5"/>
    <w:rsid w:val="00F6173D"/>
    <w:rsid w:val="00F61E02"/>
    <w:rsid w:val="00F623CC"/>
    <w:rsid w:val="00F647BA"/>
    <w:rsid w:val="00F721BB"/>
    <w:rsid w:val="00F73264"/>
    <w:rsid w:val="00F766E2"/>
    <w:rsid w:val="00F80ED3"/>
    <w:rsid w:val="00F847FC"/>
    <w:rsid w:val="00F910E4"/>
    <w:rsid w:val="00F97689"/>
    <w:rsid w:val="00FA2478"/>
    <w:rsid w:val="00FB349C"/>
    <w:rsid w:val="00FC1E53"/>
    <w:rsid w:val="00FC2965"/>
    <w:rsid w:val="00FD3EA6"/>
    <w:rsid w:val="00FD4D83"/>
    <w:rsid w:val="00FE0FD8"/>
    <w:rsid w:val="00FE5922"/>
    <w:rsid w:val="00FE7457"/>
    <w:rsid w:val="00FF37F5"/>
    <w:rsid w:val="0FF0C343"/>
    <w:rsid w:val="2B0FEC8D"/>
    <w:rsid w:val="47905725"/>
    <w:rsid w:val="6D6A69DF"/>
    <w:rsid w:val="777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4697CAAC-ACD4-412F-B942-2331A243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.lidl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8</cp:revision>
  <cp:lastPrinted>2017-09-17T22:53:00Z</cp:lastPrinted>
  <dcterms:created xsi:type="dcterms:W3CDTF">2023-02-09T12:40:00Z</dcterms:created>
  <dcterms:modified xsi:type="dcterms:W3CDTF">2023-02-15T14:34:00Z</dcterms:modified>
</cp:coreProperties>
</file>